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AE02" w14:textId="2224BB2C" w:rsidR="6F40749E" w:rsidRDefault="6F40749E" w:rsidP="2C25D58A">
      <w:pPr>
        <w:spacing w:after="0"/>
        <w:rPr>
          <w:b/>
          <w:bCs/>
        </w:rPr>
      </w:pPr>
      <w:r w:rsidRPr="2C25D58A">
        <w:rPr>
          <w:b/>
          <w:bCs/>
        </w:rPr>
        <w:t>Call to action: Begin vandaag nog met de transitie van geneesmiddelenonderzoek naar de CTR!</w:t>
      </w:r>
    </w:p>
    <w:p w14:paraId="46E4FD77" w14:textId="1858F1F0" w:rsidR="2C25D58A" w:rsidRDefault="2C25D58A" w:rsidP="2C25D58A">
      <w:pPr>
        <w:spacing w:after="0"/>
        <w:rPr>
          <w:b/>
          <w:bCs/>
        </w:rPr>
      </w:pPr>
    </w:p>
    <w:p w14:paraId="067C65EC" w14:textId="74AE25DB" w:rsidR="0DE81F7C" w:rsidRDefault="0DE81F7C" w:rsidP="2FA38609">
      <w:pPr>
        <w:spacing w:after="0"/>
        <w:rPr>
          <w:b/>
          <w:bCs/>
        </w:rPr>
      </w:pPr>
      <w:r w:rsidRPr="2FA38609">
        <w:rPr>
          <w:b/>
          <w:bCs/>
          <w:i/>
          <w:iCs/>
        </w:rPr>
        <w:t>Transitie</w:t>
      </w:r>
    </w:p>
    <w:p w14:paraId="08FAD62E" w14:textId="074D3E15" w:rsidR="6F40749E" w:rsidRDefault="6F40749E" w:rsidP="2C25D58A">
      <w:pPr>
        <w:spacing w:after="0"/>
      </w:pPr>
      <w:r>
        <w:t>Alle geneesmiddelenstudies die zijn goedgekeurd onder de Clinical Trials Directive (CTD) en die na 30 januari 2025 nog lopen, moeten op tijd worden overgezet naar de Clinical Trials Regulation (CTR).</w:t>
      </w:r>
    </w:p>
    <w:p w14:paraId="2F78E3CA" w14:textId="3D41CD5F" w:rsidR="2C25D58A" w:rsidRDefault="2C25D58A" w:rsidP="2C25D58A">
      <w:pPr>
        <w:spacing w:after="0"/>
      </w:pPr>
    </w:p>
    <w:p w14:paraId="3E28D937" w14:textId="1A51FBA8" w:rsidR="6F40749E" w:rsidRDefault="6F40749E" w:rsidP="2C25D58A">
      <w:pPr>
        <w:spacing w:after="0"/>
      </w:pPr>
      <w:r>
        <w:t xml:space="preserve">De opdrachtgever is verantwoordelijk voor een tijdige overgang naar de CTR. Er is in een versnelde administratieve procedure voorzien tot 16 oktober 2024. Bij indiening na deze datum kan er geen versnelde transitie worden gegarandeerd. </w:t>
      </w:r>
      <w:r w:rsidR="50562208">
        <w:t>Let hierbij op dat er een studie niet over gezet mag worden naar CTR wanneer er nog een amendement in Research Manager onder beoordeling is bij de METC</w:t>
      </w:r>
      <w:r w:rsidR="1DFA377D">
        <w:t>.</w:t>
      </w:r>
    </w:p>
    <w:p w14:paraId="1F8E2D1A" w14:textId="437A189D" w:rsidR="2C25D58A" w:rsidRDefault="2C25D58A" w:rsidP="2C25D58A">
      <w:pPr>
        <w:spacing w:after="0"/>
      </w:pPr>
    </w:p>
    <w:p w14:paraId="7A4CA537" w14:textId="61A817D1" w:rsidR="6F40749E" w:rsidRDefault="6F40749E" w:rsidP="2C25D58A">
      <w:pPr>
        <w:spacing w:after="0"/>
      </w:pPr>
      <w:r>
        <w:t xml:space="preserve">Informatie op CCMO.nl: </w:t>
      </w:r>
      <w:hyperlink r:id="rId8">
        <w:r w:rsidRPr="2C25D58A">
          <w:rPr>
            <w:rStyle w:val="Hyperlink"/>
            <w:rFonts w:ascii="Calibri" w:eastAsia="Calibri" w:hAnsi="Calibri" w:cs="Calibri"/>
          </w:rPr>
          <w:t>Transitiestudies: van CTD naar CTR | Onderzoekers | Centrale Commissie Mensgebonden Onderzoek (ccmo.nl)</w:t>
        </w:r>
      </w:hyperlink>
      <w:r>
        <w:t xml:space="preserve"> De CCMO heeft informatie voor opdrachtgevers gepubliceerd over 'transitiestudies' met antwoord op de volgende drie vragen: </w:t>
      </w:r>
    </w:p>
    <w:p w14:paraId="35F05AFC" w14:textId="4C9BB002" w:rsidR="6F40749E" w:rsidRDefault="6F40749E" w:rsidP="2C25D58A">
      <w:pPr>
        <w:pStyle w:val="Lijstalinea"/>
        <w:numPr>
          <w:ilvl w:val="0"/>
          <w:numId w:val="3"/>
        </w:numPr>
        <w:spacing w:after="0"/>
      </w:pPr>
      <w:r>
        <w:t xml:space="preserve">Wanneer moet de opdrachtgever geneesmiddelenonderzoek overzetten naar de CTR? </w:t>
      </w:r>
    </w:p>
    <w:p w14:paraId="7E3A3BC2" w14:textId="1C51F277" w:rsidR="6F40749E" w:rsidRDefault="6F40749E" w:rsidP="2C25D58A">
      <w:pPr>
        <w:pStyle w:val="Lijstalinea"/>
        <w:numPr>
          <w:ilvl w:val="0"/>
          <w:numId w:val="2"/>
        </w:numPr>
        <w:spacing w:after="0"/>
      </w:pPr>
      <w:r>
        <w:t xml:space="preserve">Hoe moet geneesmiddelenonderzoek overgezet worden naar de CTR? </w:t>
      </w:r>
    </w:p>
    <w:p w14:paraId="5E98B4A8" w14:textId="6D4EFED6" w:rsidR="6F40749E" w:rsidRDefault="6F40749E" w:rsidP="2C25D58A">
      <w:pPr>
        <w:pStyle w:val="Lijstalinea"/>
        <w:numPr>
          <w:ilvl w:val="0"/>
          <w:numId w:val="1"/>
        </w:numPr>
        <w:spacing w:after="0"/>
      </w:pPr>
      <w:r>
        <w:t xml:space="preserve">Wat is van belang na de transitie van geneesmiddelenonderzoek? </w:t>
      </w:r>
    </w:p>
    <w:p w14:paraId="44C2AC80" w14:textId="23751115" w:rsidR="2C25D58A" w:rsidRDefault="2C25D58A" w:rsidP="2C25D58A">
      <w:pPr>
        <w:spacing w:after="0"/>
      </w:pPr>
    </w:p>
    <w:p w14:paraId="6530C7F8" w14:textId="0F166EED" w:rsidR="6F40749E" w:rsidRDefault="6F40749E" w:rsidP="2C25D58A">
      <w:pPr>
        <w:spacing w:after="0"/>
      </w:pPr>
      <w:r>
        <w:t>Veel geneesmiddelenonderzoek is nog niet overgezet. Wacht niet tot het laatste moment om de transitie te starten</w:t>
      </w:r>
      <w:r w:rsidR="5972EE09">
        <w:t>, maar</w:t>
      </w:r>
      <w:r>
        <w:t xml:space="preserve"> begin direct! </w:t>
      </w:r>
      <w:r w:rsidR="618E8624">
        <w:t>Voor onderzoekers binnen het Amsterdam UMC: H</w:t>
      </w:r>
      <w:r w:rsidR="089470D6" w:rsidRPr="2C25D58A">
        <w:rPr>
          <w:rFonts w:ascii="Calibri" w:eastAsia="Calibri" w:hAnsi="Calibri" w:cs="Calibri"/>
        </w:rPr>
        <w:t>ulp</w:t>
      </w:r>
      <w:r w:rsidR="58EEBBE7" w:rsidRPr="2C25D58A">
        <w:rPr>
          <w:rFonts w:ascii="Calibri" w:eastAsia="Calibri" w:hAnsi="Calibri" w:cs="Calibri"/>
        </w:rPr>
        <w:t xml:space="preserve"> nodig</w:t>
      </w:r>
      <w:r w:rsidR="089470D6" w:rsidRPr="2C25D58A">
        <w:rPr>
          <w:rFonts w:ascii="Calibri" w:eastAsia="Calibri" w:hAnsi="Calibri" w:cs="Calibri"/>
        </w:rPr>
        <w:t xml:space="preserve"> bij het indienen van studies </w:t>
      </w:r>
      <w:r w:rsidR="34C77F4C" w:rsidRPr="2C25D58A">
        <w:rPr>
          <w:rFonts w:ascii="Calibri" w:eastAsia="Calibri" w:hAnsi="Calibri" w:cs="Calibri"/>
        </w:rPr>
        <w:t>onder de CTR</w:t>
      </w:r>
      <w:r w:rsidR="6CB28607" w:rsidRPr="2C25D58A">
        <w:rPr>
          <w:rFonts w:ascii="Calibri" w:eastAsia="Calibri" w:hAnsi="Calibri" w:cs="Calibri"/>
        </w:rPr>
        <w:t>?</w:t>
      </w:r>
      <w:r w:rsidR="089470D6" w:rsidRPr="2C25D58A">
        <w:rPr>
          <w:rFonts w:ascii="Calibri" w:eastAsia="Calibri" w:hAnsi="Calibri" w:cs="Calibri"/>
        </w:rPr>
        <w:t xml:space="preserve"> </w:t>
      </w:r>
      <w:r w:rsidR="63875EF0" w:rsidRPr="2C25D58A">
        <w:rPr>
          <w:rFonts w:ascii="Calibri" w:eastAsia="Calibri" w:hAnsi="Calibri" w:cs="Calibri"/>
        </w:rPr>
        <w:t>N</w:t>
      </w:r>
      <w:r w:rsidR="71D3D1DB" w:rsidRPr="2C25D58A">
        <w:rPr>
          <w:rFonts w:ascii="Calibri" w:eastAsia="Calibri" w:hAnsi="Calibri" w:cs="Calibri"/>
        </w:rPr>
        <w:t>eem dan contact op met het</w:t>
      </w:r>
      <w:r w:rsidR="089470D6" w:rsidRPr="2C25D58A">
        <w:rPr>
          <w:rFonts w:ascii="Calibri" w:eastAsia="Calibri" w:hAnsi="Calibri" w:cs="Calibri"/>
        </w:rPr>
        <w:t xml:space="preserve"> </w:t>
      </w:r>
      <w:hyperlink r:id="rId9">
        <w:r w:rsidR="089470D6" w:rsidRPr="2C25D58A">
          <w:rPr>
            <w:rStyle w:val="Hyperlink"/>
            <w:rFonts w:ascii="Calibri" w:eastAsia="Calibri" w:hAnsi="Calibri" w:cs="Calibri"/>
            <w:color w:val="0563C1"/>
          </w:rPr>
          <w:t>Clinical Monitoring Center</w:t>
        </w:r>
      </w:hyperlink>
      <w:r w:rsidR="089470D6" w:rsidRPr="2C25D58A">
        <w:rPr>
          <w:rFonts w:ascii="Calibri" w:eastAsia="Calibri" w:hAnsi="Calibri" w:cs="Calibri"/>
        </w:rPr>
        <w:t xml:space="preserve"> van het Amsterdam UMC.</w:t>
      </w:r>
    </w:p>
    <w:p w14:paraId="11C721FC" w14:textId="630F0D7E" w:rsidR="2C25D58A" w:rsidRDefault="2C25D58A" w:rsidP="2C25D58A">
      <w:pPr>
        <w:spacing w:after="0"/>
      </w:pPr>
    </w:p>
    <w:p w14:paraId="7F7A40A8" w14:textId="4B87263D" w:rsidR="329CF50E" w:rsidRDefault="329CF50E" w:rsidP="2FA38609">
      <w:pPr>
        <w:spacing w:after="0"/>
        <w:rPr>
          <w:b/>
          <w:bCs/>
        </w:rPr>
      </w:pPr>
      <w:r w:rsidRPr="2FA38609">
        <w:rPr>
          <w:b/>
          <w:bCs/>
          <w:i/>
          <w:iCs/>
        </w:rPr>
        <w:t>Eerste substantieel amendement na transitie</w:t>
      </w:r>
    </w:p>
    <w:p w14:paraId="55E6240E" w14:textId="33AF712C" w:rsidR="65927007" w:rsidRDefault="296556B8" w:rsidP="19DEE119">
      <w:pPr>
        <w:spacing w:after="0"/>
      </w:pPr>
      <w:r>
        <w:t>Na voltooiing van uw transitie, dient u bij het eerstvolgende substantiële amendement het gehele dossier compleet te maken</w:t>
      </w:r>
      <w:r w:rsidR="13588D29">
        <w:t xml:space="preserve"> en alle documenten, waar nodig, te updaten zodat deze in overeenstemming zijn met de CTR. </w:t>
      </w:r>
      <w:r w:rsidR="6A504CE8">
        <w:t>Het compleet maken van het dossier is op zichzelf geen reden om een substantieel amendement in te dienen. U kunt hiermee wachten totdat u (een) andere reden(en) heeft om een substantieel amendement i</w:t>
      </w:r>
      <w:r w:rsidR="430FA960">
        <w:t xml:space="preserve">n te dienen. </w:t>
      </w:r>
    </w:p>
    <w:p w14:paraId="35363287" w14:textId="05E9F92F" w:rsidR="65927007" w:rsidRDefault="65927007" w:rsidP="19DEE119">
      <w:pPr>
        <w:spacing w:after="0"/>
      </w:pPr>
    </w:p>
    <w:p w14:paraId="4C0D206F" w14:textId="44C0FF98" w:rsidR="65927007" w:rsidRDefault="430FA960" w:rsidP="2FA38609">
      <w:pPr>
        <w:spacing w:after="0"/>
        <w:rPr>
          <w:i/>
          <w:iCs/>
        </w:rPr>
      </w:pPr>
      <w:r w:rsidRPr="2FA38609">
        <w:rPr>
          <w:i/>
          <w:iCs/>
        </w:rPr>
        <w:t xml:space="preserve">Wat moet er bij dit </w:t>
      </w:r>
      <w:r w:rsidR="1CC460F5" w:rsidRPr="2FA38609">
        <w:rPr>
          <w:i/>
          <w:iCs/>
        </w:rPr>
        <w:t xml:space="preserve">eerste </w:t>
      </w:r>
      <w:r w:rsidRPr="2FA38609">
        <w:rPr>
          <w:i/>
          <w:iCs/>
        </w:rPr>
        <w:t xml:space="preserve">amendement aangeleverd worden? </w:t>
      </w:r>
    </w:p>
    <w:p w14:paraId="69D0CA85" w14:textId="3AF47286" w:rsidR="65927007" w:rsidRDefault="686C894F" w:rsidP="19DEE119">
      <w:pPr>
        <w:spacing w:after="0"/>
      </w:pPr>
      <w:r>
        <w:t xml:space="preserve">De Clinical Trials Coordinating Group </w:t>
      </w:r>
      <w:r w:rsidR="1D8D298A">
        <w:t xml:space="preserve">(CTCG) </w:t>
      </w:r>
      <w:r>
        <w:t xml:space="preserve">heeft </w:t>
      </w:r>
      <w:r w:rsidR="6640F90B">
        <w:t xml:space="preserve">hiervoor een </w:t>
      </w:r>
      <w:r w:rsidR="586793F2">
        <w:t>B</w:t>
      </w:r>
      <w:r w:rsidR="6640F90B">
        <w:t xml:space="preserve">est </w:t>
      </w:r>
      <w:r w:rsidR="0DEB8AF3">
        <w:t>P</w:t>
      </w:r>
      <w:r w:rsidR="6640F90B">
        <w:t>ractice opgesteld, voor zowel deel I</w:t>
      </w:r>
      <w:r w:rsidR="14F78460">
        <w:t xml:space="preserve"> (</w:t>
      </w:r>
      <w:hyperlink r:id="rId10">
        <w:r w:rsidR="14F78460" w:rsidRPr="2FA38609">
          <w:rPr>
            <w:rStyle w:val="Hyperlink"/>
          </w:rPr>
          <w:t>link</w:t>
        </w:r>
      </w:hyperlink>
      <w:r w:rsidR="14F78460">
        <w:t>)</w:t>
      </w:r>
      <w:r w:rsidR="6640F90B">
        <w:t xml:space="preserve"> als deel II</w:t>
      </w:r>
      <w:r w:rsidR="5A632D95">
        <w:t xml:space="preserve"> (</w:t>
      </w:r>
      <w:hyperlink r:id="rId11">
        <w:r w:rsidR="5A632D95" w:rsidRPr="2FA38609">
          <w:rPr>
            <w:rStyle w:val="Hyperlink"/>
          </w:rPr>
          <w:t>link</w:t>
        </w:r>
      </w:hyperlink>
      <w:r w:rsidR="5A632D95">
        <w:t>)</w:t>
      </w:r>
      <w:r w:rsidR="205E62D7">
        <w:t>. Daarnaas</w:t>
      </w:r>
      <w:r w:rsidR="45A94614">
        <w:t xml:space="preserve">t is er ook een template voor de aanbiedingsbrief </w:t>
      </w:r>
      <w:r w:rsidR="230F502A">
        <w:t>(</w:t>
      </w:r>
      <w:hyperlink r:id="rId12">
        <w:r w:rsidR="230F502A" w:rsidRPr="2FA38609">
          <w:rPr>
            <w:rStyle w:val="Hyperlink"/>
          </w:rPr>
          <w:t>link</w:t>
        </w:r>
      </w:hyperlink>
      <w:r w:rsidR="230F502A">
        <w:t xml:space="preserve">) </w:t>
      </w:r>
      <w:r w:rsidR="45A94614">
        <w:t xml:space="preserve">en </w:t>
      </w:r>
      <w:r w:rsidR="218534D4">
        <w:t>een template voor de beschrijving van de wijzigingen (</w:t>
      </w:r>
      <w:hyperlink r:id="rId13">
        <w:r w:rsidR="218534D4" w:rsidRPr="2FA38609">
          <w:rPr>
            <w:rStyle w:val="Hyperlink"/>
          </w:rPr>
          <w:t>link</w:t>
        </w:r>
      </w:hyperlink>
      <w:r w:rsidR="218534D4">
        <w:t>)</w:t>
      </w:r>
      <w:r w:rsidR="7362032C">
        <w:t>.</w:t>
      </w:r>
    </w:p>
    <w:p w14:paraId="3BF84F05" w14:textId="3323F682" w:rsidR="2FA38609" w:rsidRDefault="2FA38609" w:rsidP="2FA38609">
      <w:pPr>
        <w:spacing w:after="0"/>
      </w:pPr>
    </w:p>
    <w:p w14:paraId="2BA1FD43" w14:textId="1B5CEBC0" w:rsidR="2FA38609" w:rsidRDefault="71499417" w:rsidP="3A734CAD">
      <w:pPr>
        <w:spacing w:after="0"/>
        <w:rPr>
          <w:b/>
          <w:bCs/>
          <w:i/>
          <w:iCs/>
        </w:rPr>
      </w:pPr>
      <w:r w:rsidRPr="3A734CAD">
        <w:rPr>
          <w:b/>
          <w:bCs/>
          <w:i/>
          <w:iCs/>
        </w:rPr>
        <w:t>Het indienen van v</w:t>
      </w:r>
      <w:r w:rsidR="40676A65" w:rsidRPr="3A734CAD">
        <w:rPr>
          <w:b/>
          <w:bCs/>
          <w:i/>
          <w:iCs/>
        </w:rPr>
        <w:t xml:space="preserve">oortgangsrapportages </w:t>
      </w:r>
      <w:r w:rsidR="078ABB08" w:rsidRPr="3A734CAD">
        <w:rPr>
          <w:b/>
          <w:bCs/>
          <w:i/>
          <w:iCs/>
        </w:rPr>
        <w:t>en</w:t>
      </w:r>
      <w:r w:rsidR="40676A65" w:rsidRPr="3A734CAD">
        <w:rPr>
          <w:b/>
          <w:bCs/>
          <w:i/>
          <w:iCs/>
        </w:rPr>
        <w:t xml:space="preserve"> veiligheidsmelding</w:t>
      </w:r>
      <w:r w:rsidR="3670AB92" w:rsidRPr="3A734CAD">
        <w:rPr>
          <w:b/>
          <w:bCs/>
          <w:i/>
          <w:iCs/>
        </w:rPr>
        <w:t>en</w:t>
      </w:r>
      <w:r w:rsidR="40676A65" w:rsidRPr="3A734CAD">
        <w:rPr>
          <w:b/>
          <w:bCs/>
          <w:i/>
          <w:iCs/>
        </w:rPr>
        <w:t xml:space="preserve"> </w:t>
      </w:r>
      <w:r w:rsidR="26A0F5AC" w:rsidRPr="3A734CAD">
        <w:rPr>
          <w:b/>
          <w:bCs/>
          <w:i/>
          <w:iCs/>
        </w:rPr>
        <w:t>na transitie</w:t>
      </w:r>
    </w:p>
    <w:p w14:paraId="1D954CD9" w14:textId="2621D4F0" w:rsidR="40676A65" w:rsidRDefault="40676A65" w:rsidP="3A734CAD">
      <w:pPr>
        <w:spacing w:after="0"/>
      </w:pPr>
      <w:r w:rsidRPr="3A734CAD">
        <w:t xml:space="preserve">Na voltooiing van uw transitie </w:t>
      </w:r>
      <w:r w:rsidR="34E91B58" w:rsidRPr="3A734CAD">
        <w:t>komt</w:t>
      </w:r>
      <w:r w:rsidRPr="3A734CAD">
        <w:t xml:space="preserve"> het indienen van voortgangsrapportage</w:t>
      </w:r>
      <w:r w:rsidR="51383CD9" w:rsidRPr="3A734CAD">
        <w:t>s</w:t>
      </w:r>
      <w:r w:rsidRPr="3A734CAD">
        <w:t xml:space="preserve"> via Research Manager</w:t>
      </w:r>
      <w:r w:rsidR="003A693C">
        <w:t xml:space="preserve"> </w:t>
      </w:r>
      <w:r w:rsidR="6A3658F8" w:rsidRPr="3A734CAD">
        <w:t>en het indienen van</w:t>
      </w:r>
      <w:r w:rsidR="5603DE4D" w:rsidRPr="3A734CAD">
        <w:t xml:space="preserve"> veili</w:t>
      </w:r>
      <w:r w:rsidR="2A6A0591" w:rsidRPr="3A734CAD">
        <w:t>gheidsmeldingen via ToetsingOnline</w:t>
      </w:r>
      <w:r w:rsidR="3C325FFF" w:rsidRPr="3A734CAD">
        <w:t xml:space="preserve"> te vervallen. In CTIS </w:t>
      </w:r>
      <w:r w:rsidR="0147875B" w:rsidRPr="3A734CAD">
        <w:t xml:space="preserve">moet </w:t>
      </w:r>
      <w:r w:rsidR="3C325FFF" w:rsidRPr="3A734CAD">
        <w:t>u jaarlijks een Annual Safety Report in</w:t>
      </w:r>
      <w:r w:rsidR="516AB061" w:rsidRPr="3A734CAD">
        <w:t>dienen</w:t>
      </w:r>
      <w:r w:rsidR="4478AAE9" w:rsidRPr="3A734CAD">
        <w:t xml:space="preserve"> (ASR)</w:t>
      </w:r>
      <w:r w:rsidR="3C325FFF" w:rsidRPr="3A734CAD">
        <w:t xml:space="preserve">, waar ook alle individuele </w:t>
      </w:r>
      <w:r w:rsidR="5E2CD003" w:rsidRPr="3A734CAD">
        <w:t>SAE meldingen</w:t>
      </w:r>
      <w:r w:rsidR="3C325FFF" w:rsidRPr="3A734CAD">
        <w:t xml:space="preserve"> in meegenomen kunnen worden</w:t>
      </w:r>
      <w:r w:rsidR="42CA6F6C" w:rsidRPr="3A734CAD">
        <w:t xml:space="preserve"> (</w:t>
      </w:r>
      <w:hyperlink r:id="rId14">
        <w:r w:rsidR="42CA6F6C" w:rsidRPr="3A734CAD">
          <w:rPr>
            <w:rStyle w:val="Hyperlink"/>
          </w:rPr>
          <w:t>link</w:t>
        </w:r>
      </w:hyperlink>
      <w:r w:rsidR="42CA6F6C" w:rsidRPr="3A734CAD">
        <w:t>).</w:t>
      </w:r>
      <w:r w:rsidR="02AB6776" w:rsidRPr="3A734CAD">
        <w:t xml:space="preserve"> </w:t>
      </w:r>
      <w:r w:rsidR="6606426D" w:rsidRPr="3A734CAD">
        <w:t>Voor SUSARs is het verplicht deze te melden via</w:t>
      </w:r>
      <w:r w:rsidR="02AB6776" w:rsidRPr="3A734CAD">
        <w:t xml:space="preserve"> EudraVigilance</w:t>
      </w:r>
      <w:r w:rsidR="5B75AA8D" w:rsidRPr="3A734CAD">
        <w:t xml:space="preserve"> (</w:t>
      </w:r>
      <w:hyperlink r:id="rId15">
        <w:r w:rsidR="5B75AA8D" w:rsidRPr="3A734CAD">
          <w:rPr>
            <w:rStyle w:val="Hyperlink"/>
          </w:rPr>
          <w:t>link</w:t>
        </w:r>
      </w:hyperlink>
      <w:r w:rsidR="5B75AA8D" w:rsidRPr="3A734CAD">
        <w:t>)</w:t>
      </w:r>
      <w:r w:rsidR="02AB6776" w:rsidRPr="3A734CAD">
        <w:t xml:space="preserve">. </w:t>
      </w:r>
      <w:r w:rsidR="3C325FFF" w:rsidRPr="3A734CAD">
        <w:t xml:space="preserve"> </w:t>
      </w:r>
    </w:p>
    <w:p w14:paraId="5D34D623" w14:textId="63E2806C" w:rsidR="3A734CAD" w:rsidRDefault="3A734CAD" w:rsidP="3A734CAD">
      <w:pPr>
        <w:spacing w:after="0"/>
      </w:pPr>
    </w:p>
    <w:sectPr w:rsidR="3A734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8DA31"/>
    <w:multiLevelType w:val="hybridMultilevel"/>
    <w:tmpl w:val="8FB0E19E"/>
    <w:lvl w:ilvl="0" w:tplc="10AAC358">
      <w:start w:val="1"/>
      <w:numFmt w:val="bullet"/>
      <w:lvlText w:val="-"/>
      <w:lvlJc w:val="left"/>
      <w:pPr>
        <w:ind w:left="360" w:hanging="360"/>
      </w:pPr>
      <w:rPr>
        <w:rFonts w:ascii="Calibri" w:hAnsi="Calibri" w:hint="default"/>
      </w:rPr>
    </w:lvl>
    <w:lvl w:ilvl="1" w:tplc="9B72EE4E">
      <w:start w:val="1"/>
      <w:numFmt w:val="bullet"/>
      <w:lvlText w:val="o"/>
      <w:lvlJc w:val="left"/>
      <w:pPr>
        <w:ind w:left="1080" w:hanging="360"/>
      </w:pPr>
      <w:rPr>
        <w:rFonts w:ascii="Courier New" w:hAnsi="Courier New" w:hint="default"/>
      </w:rPr>
    </w:lvl>
    <w:lvl w:ilvl="2" w:tplc="AF40A93C">
      <w:start w:val="1"/>
      <w:numFmt w:val="bullet"/>
      <w:lvlText w:val=""/>
      <w:lvlJc w:val="left"/>
      <w:pPr>
        <w:ind w:left="1800" w:hanging="360"/>
      </w:pPr>
      <w:rPr>
        <w:rFonts w:ascii="Wingdings" w:hAnsi="Wingdings" w:hint="default"/>
      </w:rPr>
    </w:lvl>
    <w:lvl w:ilvl="3" w:tplc="0FB25FC0">
      <w:start w:val="1"/>
      <w:numFmt w:val="bullet"/>
      <w:lvlText w:val=""/>
      <w:lvlJc w:val="left"/>
      <w:pPr>
        <w:ind w:left="2520" w:hanging="360"/>
      </w:pPr>
      <w:rPr>
        <w:rFonts w:ascii="Symbol" w:hAnsi="Symbol" w:hint="default"/>
      </w:rPr>
    </w:lvl>
    <w:lvl w:ilvl="4" w:tplc="A7620DAC">
      <w:start w:val="1"/>
      <w:numFmt w:val="bullet"/>
      <w:lvlText w:val="o"/>
      <w:lvlJc w:val="left"/>
      <w:pPr>
        <w:ind w:left="3240" w:hanging="360"/>
      </w:pPr>
      <w:rPr>
        <w:rFonts w:ascii="Courier New" w:hAnsi="Courier New" w:hint="default"/>
      </w:rPr>
    </w:lvl>
    <w:lvl w:ilvl="5" w:tplc="EC44B19E">
      <w:start w:val="1"/>
      <w:numFmt w:val="bullet"/>
      <w:lvlText w:val=""/>
      <w:lvlJc w:val="left"/>
      <w:pPr>
        <w:ind w:left="3960" w:hanging="360"/>
      </w:pPr>
      <w:rPr>
        <w:rFonts w:ascii="Wingdings" w:hAnsi="Wingdings" w:hint="default"/>
      </w:rPr>
    </w:lvl>
    <w:lvl w:ilvl="6" w:tplc="92FEBFD8">
      <w:start w:val="1"/>
      <w:numFmt w:val="bullet"/>
      <w:lvlText w:val=""/>
      <w:lvlJc w:val="left"/>
      <w:pPr>
        <w:ind w:left="4680" w:hanging="360"/>
      </w:pPr>
      <w:rPr>
        <w:rFonts w:ascii="Symbol" w:hAnsi="Symbol" w:hint="default"/>
      </w:rPr>
    </w:lvl>
    <w:lvl w:ilvl="7" w:tplc="561CC1E2">
      <w:start w:val="1"/>
      <w:numFmt w:val="bullet"/>
      <w:lvlText w:val="o"/>
      <w:lvlJc w:val="left"/>
      <w:pPr>
        <w:ind w:left="5400" w:hanging="360"/>
      </w:pPr>
      <w:rPr>
        <w:rFonts w:ascii="Courier New" w:hAnsi="Courier New" w:hint="default"/>
      </w:rPr>
    </w:lvl>
    <w:lvl w:ilvl="8" w:tplc="8EFA8CA2">
      <w:start w:val="1"/>
      <w:numFmt w:val="bullet"/>
      <w:lvlText w:val=""/>
      <w:lvlJc w:val="left"/>
      <w:pPr>
        <w:ind w:left="6120" w:hanging="360"/>
      </w:pPr>
      <w:rPr>
        <w:rFonts w:ascii="Wingdings" w:hAnsi="Wingdings" w:hint="default"/>
      </w:rPr>
    </w:lvl>
  </w:abstractNum>
  <w:abstractNum w:abstractNumId="1" w15:restartNumberingAfterBreak="0">
    <w:nsid w:val="50419B63"/>
    <w:multiLevelType w:val="hybridMultilevel"/>
    <w:tmpl w:val="4E92D126"/>
    <w:lvl w:ilvl="0" w:tplc="207C8D68">
      <w:start w:val="1"/>
      <w:numFmt w:val="bullet"/>
      <w:lvlText w:val="-"/>
      <w:lvlJc w:val="left"/>
      <w:pPr>
        <w:ind w:left="360" w:hanging="360"/>
      </w:pPr>
      <w:rPr>
        <w:rFonts w:ascii="Calibri" w:hAnsi="Calibri" w:hint="default"/>
      </w:rPr>
    </w:lvl>
    <w:lvl w:ilvl="1" w:tplc="600E6E46">
      <w:start w:val="1"/>
      <w:numFmt w:val="bullet"/>
      <w:lvlText w:val="o"/>
      <w:lvlJc w:val="left"/>
      <w:pPr>
        <w:ind w:left="1080" w:hanging="360"/>
      </w:pPr>
      <w:rPr>
        <w:rFonts w:ascii="Courier New" w:hAnsi="Courier New" w:hint="default"/>
      </w:rPr>
    </w:lvl>
    <w:lvl w:ilvl="2" w:tplc="05D89570">
      <w:start w:val="1"/>
      <w:numFmt w:val="bullet"/>
      <w:lvlText w:val=""/>
      <w:lvlJc w:val="left"/>
      <w:pPr>
        <w:ind w:left="1800" w:hanging="360"/>
      </w:pPr>
      <w:rPr>
        <w:rFonts w:ascii="Wingdings" w:hAnsi="Wingdings" w:hint="default"/>
      </w:rPr>
    </w:lvl>
    <w:lvl w:ilvl="3" w:tplc="838AEA20">
      <w:start w:val="1"/>
      <w:numFmt w:val="bullet"/>
      <w:lvlText w:val=""/>
      <w:lvlJc w:val="left"/>
      <w:pPr>
        <w:ind w:left="2520" w:hanging="360"/>
      </w:pPr>
      <w:rPr>
        <w:rFonts w:ascii="Symbol" w:hAnsi="Symbol" w:hint="default"/>
      </w:rPr>
    </w:lvl>
    <w:lvl w:ilvl="4" w:tplc="7C8C75EA">
      <w:start w:val="1"/>
      <w:numFmt w:val="bullet"/>
      <w:lvlText w:val="o"/>
      <w:lvlJc w:val="left"/>
      <w:pPr>
        <w:ind w:left="3240" w:hanging="360"/>
      </w:pPr>
      <w:rPr>
        <w:rFonts w:ascii="Courier New" w:hAnsi="Courier New" w:hint="default"/>
      </w:rPr>
    </w:lvl>
    <w:lvl w:ilvl="5" w:tplc="F3663044">
      <w:start w:val="1"/>
      <w:numFmt w:val="bullet"/>
      <w:lvlText w:val=""/>
      <w:lvlJc w:val="left"/>
      <w:pPr>
        <w:ind w:left="3960" w:hanging="360"/>
      </w:pPr>
      <w:rPr>
        <w:rFonts w:ascii="Wingdings" w:hAnsi="Wingdings" w:hint="default"/>
      </w:rPr>
    </w:lvl>
    <w:lvl w:ilvl="6" w:tplc="F27ADD32">
      <w:start w:val="1"/>
      <w:numFmt w:val="bullet"/>
      <w:lvlText w:val=""/>
      <w:lvlJc w:val="left"/>
      <w:pPr>
        <w:ind w:left="4680" w:hanging="360"/>
      </w:pPr>
      <w:rPr>
        <w:rFonts w:ascii="Symbol" w:hAnsi="Symbol" w:hint="default"/>
      </w:rPr>
    </w:lvl>
    <w:lvl w:ilvl="7" w:tplc="4ACA871A">
      <w:start w:val="1"/>
      <w:numFmt w:val="bullet"/>
      <w:lvlText w:val="o"/>
      <w:lvlJc w:val="left"/>
      <w:pPr>
        <w:ind w:left="5400" w:hanging="360"/>
      </w:pPr>
      <w:rPr>
        <w:rFonts w:ascii="Courier New" w:hAnsi="Courier New" w:hint="default"/>
      </w:rPr>
    </w:lvl>
    <w:lvl w:ilvl="8" w:tplc="5686BB24">
      <w:start w:val="1"/>
      <w:numFmt w:val="bullet"/>
      <w:lvlText w:val=""/>
      <w:lvlJc w:val="left"/>
      <w:pPr>
        <w:ind w:left="6120" w:hanging="360"/>
      </w:pPr>
      <w:rPr>
        <w:rFonts w:ascii="Wingdings" w:hAnsi="Wingdings" w:hint="default"/>
      </w:rPr>
    </w:lvl>
  </w:abstractNum>
  <w:abstractNum w:abstractNumId="2" w15:restartNumberingAfterBreak="0">
    <w:nsid w:val="7816816F"/>
    <w:multiLevelType w:val="hybridMultilevel"/>
    <w:tmpl w:val="244E42CA"/>
    <w:lvl w:ilvl="0" w:tplc="9EA83228">
      <w:start w:val="1"/>
      <w:numFmt w:val="bullet"/>
      <w:lvlText w:val="-"/>
      <w:lvlJc w:val="left"/>
      <w:pPr>
        <w:ind w:left="360" w:hanging="360"/>
      </w:pPr>
      <w:rPr>
        <w:rFonts w:ascii="Calibri" w:hAnsi="Calibri" w:hint="default"/>
      </w:rPr>
    </w:lvl>
    <w:lvl w:ilvl="1" w:tplc="855EEEAC">
      <w:start w:val="1"/>
      <w:numFmt w:val="bullet"/>
      <w:lvlText w:val="o"/>
      <w:lvlJc w:val="left"/>
      <w:pPr>
        <w:ind w:left="1080" w:hanging="360"/>
      </w:pPr>
      <w:rPr>
        <w:rFonts w:ascii="Courier New" w:hAnsi="Courier New" w:hint="default"/>
      </w:rPr>
    </w:lvl>
    <w:lvl w:ilvl="2" w:tplc="D608A7B2">
      <w:start w:val="1"/>
      <w:numFmt w:val="bullet"/>
      <w:lvlText w:val=""/>
      <w:lvlJc w:val="left"/>
      <w:pPr>
        <w:ind w:left="1800" w:hanging="360"/>
      </w:pPr>
      <w:rPr>
        <w:rFonts w:ascii="Wingdings" w:hAnsi="Wingdings" w:hint="default"/>
      </w:rPr>
    </w:lvl>
    <w:lvl w:ilvl="3" w:tplc="EF7CF03A">
      <w:start w:val="1"/>
      <w:numFmt w:val="bullet"/>
      <w:lvlText w:val=""/>
      <w:lvlJc w:val="left"/>
      <w:pPr>
        <w:ind w:left="2520" w:hanging="360"/>
      </w:pPr>
      <w:rPr>
        <w:rFonts w:ascii="Symbol" w:hAnsi="Symbol" w:hint="default"/>
      </w:rPr>
    </w:lvl>
    <w:lvl w:ilvl="4" w:tplc="9EBAAC20">
      <w:start w:val="1"/>
      <w:numFmt w:val="bullet"/>
      <w:lvlText w:val="o"/>
      <w:lvlJc w:val="left"/>
      <w:pPr>
        <w:ind w:left="3240" w:hanging="360"/>
      </w:pPr>
      <w:rPr>
        <w:rFonts w:ascii="Courier New" w:hAnsi="Courier New" w:hint="default"/>
      </w:rPr>
    </w:lvl>
    <w:lvl w:ilvl="5" w:tplc="DFCA0756">
      <w:start w:val="1"/>
      <w:numFmt w:val="bullet"/>
      <w:lvlText w:val=""/>
      <w:lvlJc w:val="left"/>
      <w:pPr>
        <w:ind w:left="3960" w:hanging="360"/>
      </w:pPr>
      <w:rPr>
        <w:rFonts w:ascii="Wingdings" w:hAnsi="Wingdings" w:hint="default"/>
      </w:rPr>
    </w:lvl>
    <w:lvl w:ilvl="6" w:tplc="C818DA76">
      <w:start w:val="1"/>
      <w:numFmt w:val="bullet"/>
      <w:lvlText w:val=""/>
      <w:lvlJc w:val="left"/>
      <w:pPr>
        <w:ind w:left="4680" w:hanging="360"/>
      </w:pPr>
      <w:rPr>
        <w:rFonts w:ascii="Symbol" w:hAnsi="Symbol" w:hint="default"/>
      </w:rPr>
    </w:lvl>
    <w:lvl w:ilvl="7" w:tplc="877E51D8">
      <w:start w:val="1"/>
      <w:numFmt w:val="bullet"/>
      <w:lvlText w:val="o"/>
      <w:lvlJc w:val="left"/>
      <w:pPr>
        <w:ind w:left="5400" w:hanging="360"/>
      </w:pPr>
      <w:rPr>
        <w:rFonts w:ascii="Courier New" w:hAnsi="Courier New" w:hint="default"/>
      </w:rPr>
    </w:lvl>
    <w:lvl w:ilvl="8" w:tplc="51D0FE84">
      <w:start w:val="1"/>
      <w:numFmt w:val="bullet"/>
      <w:lvlText w:val=""/>
      <w:lvlJc w:val="left"/>
      <w:pPr>
        <w:ind w:left="6120" w:hanging="360"/>
      </w:pPr>
      <w:rPr>
        <w:rFonts w:ascii="Wingdings" w:hAnsi="Wingdings" w:hint="default"/>
      </w:rPr>
    </w:lvl>
  </w:abstractNum>
  <w:num w:numId="1" w16cid:durableId="1515070716">
    <w:abstractNumId w:val="1"/>
  </w:num>
  <w:num w:numId="2" w16cid:durableId="1346711871">
    <w:abstractNumId w:val="2"/>
  </w:num>
  <w:num w:numId="3" w16cid:durableId="135961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D7EF66"/>
    <w:rsid w:val="003A693C"/>
    <w:rsid w:val="0147875B"/>
    <w:rsid w:val="02AB6776"/>
    <w:rsid w:val="0351DF14"/>
    <w:rsid w:val="062C803C"/>
    <w:rsid w:val="0689231E"/>
    <w:rsid w:val="078ABB08"/>
    <w:rsid w:val="07ED948A"/>
    <w:rsid w:val="089470D6"/>
    <w:rsid w:val="095AD2FB"/>
    <w:rsid w:val="09AD9AF5"/>
    <w:rsid w:val="0C3C5C6B"/>
    <w:rsid w:val="0D82C84B"/>
    <w:rsid w:val="0D9EBE1D"/>
    <w:rsid w:val="0DE81F7C"/>
    <w:rsid w:val="0DEB8AF3"/>
    <w:rsid w:val="11B62537"/>
    <w:rsid w:val="127A08D5"/>
    <w:rsid w:val="130DCC4E"/>
    <w:rsid w:val="13588D29"/>
    <w:rsid w:val="14ECDB34"/>
    <w:rsid w:val="14F78460"/>
    <w:rsid w:val="152F4CD9"/>
    <w:rsid w:val="15DE111D"/>
    <w:rsid w:val="18D7EF66"/>
    <w:rsid w:val="19DEE119"/>
    <w:rsid w:val="1CC460F5"/>
    <w:rsid w:val="1D8D298A"/>
    <w:rsid w:val="1DFA377D"/>
    <w:rsid w:val="1E5933EC"/>
    <w:rsid w:val="1EBFFF34"/>
    <w:rsid w:val="1FEEBC76"/>
    <w:rsid w:val="1FF5044D"/>
    <w:rsid w:val="205E62D7"/>
    <w:rsid w:val="2070C8D0"/>
    <w:rsid w:val="2120C3C4"/>
    <w:rsid w:val="218534D4"/>
    <w:rsid w:val="2190D4AE"/>
    <w:rsid w:val="2271C892"/>
    <w:rsid w:val="230F502A"/>
    <w:rsid w:val="243F3C29"/>
    <w:rsid w:val="25F434E7"/>
    <w:rsid w:val="25F9247D"/>
    <w:rsid w:val="26A0F5AC"/>
    <w:rsid w:val="27275159"/>
    <w:rsid w:val="296556B8"/>
    <w:rsid w:val="2A6A0591"/>
    <w:rsid w:val="2C25D58A"/>
    <w:rsid w:val="2F8D851A"/>
    <w:rsid w:val="2FA38609"/>
    <w:rsid w:val="30207D30"/>
    <w:rsid w:val="3042B475"/>
    <w:rsid w:val="329CF50E"/>
    <w:rsid w:val="335C7274"/>
    <w:rsid w:val="34C77F4C"/>
    <w:rsid w:val="34E91B58"/>
    <w:rsid w:val="3670AB92"/>
    <w:rsid w:val="38338FA7"/>
    <w:rsid w:val="3A734CAD"/>
    <w:rsid w:val="3A86E1C6"/>
    <w:rsid w:val="3C325FFF"/>
    <w:rsid w:val="3C843370"/>
    <w:rsid w:val="40676A65"/>
    <w:rsid w:val="4176D9F8"/>
    <w:rsid w:val="42CA6F6C"/>
    <w:rsid w:val="430FA960"/>
    <w:rsid w:val="4478AAE9"/>
    <w:rsid w:val="45A94614"/>
    <w:rsid w:val="4C6CC718"/>
    <w:rsid w:val="4E61099D"/>
    <w:rsid w:val="4FBA32BD"/>
    <w:rsid w:val="50562208"/>
    <w:rsid w:val="505DDE36"/>
    <w:rsid w:val="51383CD9"/>
    <w:rsid w:val="516AB061"/>
    <w:rsid w:val="5202312E"/>
    <w:rsid w:val="55642FA3"/>
    <w:rsid w:val="5603DE4D"/>
    <w:rsid w:val="57000004"/>
    <w:rsid w:val="585EAE21"/>
    <w:rsid w:val="586793F2"/>
    <w:rsid w:val="58EEBBE7"/>
    <w:rsid w:val="5972EE09"/>
    <w:rsid w:val="5A632D95"/>
    <w:rsid w:val="5B75AA8D"/>
    <w:rsid w:val="5D2B83B9"/>
    <w:rsid w:val="5E2CD003"/>
    <w:rsid w:val="618E8624"/>
    <w:rsid w:val="63875EF0"/>
    <w:rsid w:val="63C6C282"/>
    <w:rsid w:val="6484CDF8"/>
    <w:rsid w:val="65862D18"/>
    <w:rsid w:val="65927007"/>
    <w:rsid w:val="6606426D"/>
    <w:rsid w:val="6640F90B"/>
    <w:rsid w:val="686C894F"/>
    <w:rsid w:val="6A3658F8"/>
    <w:rsid w:val="6A504CE8"/>
    <w:rsid w:val="6B471C51"/>
    <w:rsid w:val="6C6A25E6"/>
    <w:rsid w:val="6CB28607"/>
    <w:rsid w:val="6CC42F87"/>
    <w:rsid w:val="6EE799A6"/>
    <w:rsid w:val="6F40749E"/>
    <w:rsid w:val="6F61BC89"/>
    <w:rsid w:val="70ABCB3D"/>
    <w:rsid w:val="71499417"/>
    <w:rsid w:val="71D3D1DB"/>
    <w:rsid w:val="72666E84"/>
    <w:rsid w:val="7362032C"/>
    <w:rsid w:val="745F9891"/>
    <w:rsid w:val="74CF416C"/>
    <w:rsid w:val="7515446A"/>
    <w:rsid w:val="766B11CD"/>
    <w:rsid w:val="7E0BC067"/>
    <w:rsid w:val="7E8591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EF66"/>
  <w15:chartTrackingRefBased/>
  <w15:docId w15:val="{FC2B4ED1-4434-485D-8CA8-6853AD21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mo.nl/onderzoekers/geneesmiddelenonderzoek-ctr/transitiestudies" TargetMode="External"/><Relationship Id="rId13" Type="http://schemas.openxmlformats.org/officeDocument/2006/relationships/hyperlink" Target="https://www.hma.eu/fileadmin/dateien/HMA_joint/00-_About_HMA/03-Working_Groups/CTCG/2024_Annex_II_substantial_modification_descrition_template-CTCG_Best_Practice_Guide_for_sponsors_on_first_SM_after_transition_vs1.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ma.eu/fileadmin/dateien/HMA_joint/00-_About_HMA/03-Working_Groups/CTCG/2024_Annex_I_cover_letter_template-CTCG_Best_Practice_Guide_to_sponsors_on_first_SM_after_transition_vs1.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ma.eu/fileadmin/dateien/HMA_joint/00-_About_HMA/03-Working_Groups/CTCG/2024_Annex_III_First_SM_Part_II_after_transition_vs._1.0.pdf" TargetMode="External"/><Relationship Id="rId5" Type="http://schemas.openxmlformats.org/officeDocument/2006/relationships/styles" Target="styles.xml"/><Relationship Id="rId15" Type="http://schemas.openxmlformats.org/officeDocument/2006/relationships/hyperlink" Target="https://www.ccmo.nl/onderzoekers/geneesmiddelenonderzoek-ctr/uitvoering-van-de-studie-ctr/veiligheidsrapportage/ernstige-ongewenste-voorvallen-en-susars" TargetMode="External"/><Relationship Id="rId10" Type="http://schemas.openxmlformats.org/officeDocument/2006/relationships/hyperlink" Target="https://www.hma.eu/fileadmin/dateien/HMA_joint/00-_About_HMA/03-Working_Groups/CTCG/2024_CTCG-Best-Practice-Guide-to-sponsors-first-substantial-modification-application-PartI-and-or-Part-II-after-CTR-transition-vs.-2.0.pdf" TargetMode="External"/><Relationship Id="rId4" Type="http://schemas.openxmlformats.org/officeDocument/2006/relationships/numbering" Target="numbering.xml"/><Relationship Id="rId9" Type="http://schemas.openxmlformats.org/officeDocument/2006/relationships/hyperlink" Target="https://intranet.amc.nl/web/organisatie/clusters/afdelingsoverzicht/clinical-monitoring-center/monitoring/onze-dienstverlening.htm" TargetMode="External"/><Relationship Id="rId14" Type="http://schemas.openxmlformats.org/officeDocument/2006/relationships/hyperlink" Target="https://www.ccmo.nl/onderzoekers/geneesmiddelenonderzoek-ctr/uitvoering-van-de-studie-ctr/veiligheidsrapportage/jaarlijkse-veiligheidsrappor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indiening xmlns="a80ab04c-8f70-4963-96ff-2715df65a177">Nieuwe studie</Typeindiening>
    <lcf76f155ced4ddcb4097134ff3c332f xmlns="a80ab04c-8f70-4963-96ff-2715df65a177">
      <Terms xmlns="http://schemas.microsoft.com/office/infopath/2007/PartnerControls"/>
    </lcf76f155ced4ddcb4097134ff3c332f>
    <Datum xmlns="a80ab04c-8f70-4963-96ff-2715df65a177" xsi:nil="true"/>
    <opmerkingen xmlns="a80ab04c-8f70-4963-96ff-2715df65a177" xsi:nil="true"/>
    <linknetwerkschijf xmlns="a80ab04c-8f70-4963-96ff-2715df65a177">
      <Url xsi:nil="true"/>
      <Description xsi:nil="true"/>
    </linknetwerkschijf>
    <TaxCatchAll xmlns="1acb8f41-2a33-4baf-8cf1-caa83d506ca0" xsi:nil="true"/>
    <Opmerkingen0 xmlns="a80ab04c-8f70-4963-96ff-2715df65a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4B550ABE92447A2ACA11BE917DF83" ma:contentTypeVersion="22" ma:contentTypeDescription="Een nieuw document maken." ma:contentTypeScope="" ma:versionID="d1e4bcab5fb33fac40229ea3bed0dddf">
  <xsd:schema xmlns:xsd="http://www.w3.org/2001/XMLSchema" xmlns:xs="http://www.w3.org/2001/XMLSchema" xmlns:p="http://schemas.microsoft.com/office/2006/metadata/properties" xmlns:ns2="a80ab04c-8f70-4963-96ff-2715df65a177" xmlns:ns3="1acb8f41-2a33-4baf-8cf1-caa83d506ca0" targetNamespace="http://schemas.microsoft.com/office/2006/metadata/properties" ma:root="true" ma:fieldsID="21a61a358776f8945d30de61eff6c079" ns2:_="" ns3:_="">
    <xsd:import namespace="a80ab04c-8f70-4963-96ff-2715df65a177"/>
    <xsd:import namespace="1acb8f41-2a33-4baf-8cf1-caa83d506ca0"/>
    <xsd:element name="properties">
      <xsd:complexType>
        <xsd:sequence>
          <xsd:element name="documentManagement">
            <xsd:complexType>
              <xsd:all>
                <xsd:element ref="ns2:Datum" minOccurs="0"/>
                <xsd:element ref="ns2:Typeindiening" minOccurs="0"/>
                <xsd:element ref="ns2:opmerkinge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inknetwerkschijf" minOccurs="0"/>
                <xsd:element ref="ns2:MediaServiceSearchProperties" minOccurs="0"/>
                <xsd:element ref="ns2:Opmerkinge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b04c-8f70-4963-96ff-2715df65a177" elementFormDefault="qualified">
    <xsd:import namespace="http://schemas.microsoft.com/office/2006/documentManagement/types"/>
    <xsd:import namespace="http://schemas.microsoft.com/office/infopath/2007/PartnerControls"/>
    <xsd:element name="Datum" ma:index="3" nillable="true" ma:displayName="Datum" ma:format="DateOnly" ma:internalName="Datum" ma:readOnly="false">
      <xsd:simpleType>
        <xsd:restriction base="dms:DateTime"/>
      </xsd:simpleType>
    </xsd:element>
    <xsd:element name="Typeindiening" ma:index="4" nillable="true" ma:displayName="Type indiening" ma:default="Nieuwe studie" ma:format="Dropdown" ma:internalName="Typeindiening"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netwerkschijf" ma:index="25" nillable="true" ma:displayName="link netwerkschijf" ma:format="Hyperlink" ma:hidden="true" ma:internalName="linknetwerkschij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Opmerkingen0" ma:index="27" nillable="true" ma:displayName="Opmerkingen" ma:format="Dropdown" ma:hidden="true" ma:internalName="Opmerkingen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b8f41-2a33-4baf-8cf1-caa83d506ca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14" nillable="true" ma:displayName="Taxonomy Catch All Column" ma:hidden="true" ma:list="{7a344a96-2ca9-4d98-9a8e-6258124873b4}" ma:internalName="TaxCatchAll" ma:readOnly="false" ma:showField="CatchAllData" ma:web="1acb8f41-2a33-4baf-8cf1-caa83d506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D1238-3E7A-49F0-91CA-873F80A1E468}">
  <ds:schemaRefs>
    <ds:schemaRef ds:uri="http://schemas.microsoft.com/office/2006/metadata/properties"/>
    <ds:schemaRef ds:uri="http://schemas.microsoft.com/office/infopath/2007/PartnerControls"/>
    <ds:schemaRef ds:uri="a80ab04c-8f70-4963-96ff-2715df65a177"/>
    <ds:schemaRef ds:uri="1acb8f41-2a33-4baf-8cf1-caa83d506ca0"/>
  </ds:schemaRefs>
</ds:datastoreItem>
</file>

<file path=customXml/itemProps2.xml><?xml version="1.0" encoding="utf-8"?>
<ds:datastoreItem xmlns:ds="http://schemas.openxmlformats.org/officeDocument/2006/customXml" ds:itemID="{7EF5445E-EFB1-4E9F-8671-4CBE4066E84F}">
  <ds:schemaRefs>
    <ds:schemaRef ds:uri="http://schemas.microsoft.com/sharepoint/v3/contenttype/forms"/>
  </ds:schemaRefs>
</ds:datastoreItem>
</file>

<file path=customXml/itemProps3.xml><?xml version="1.0" encoding="utf-8"?>
<ds:datastoreItem xmlns:ds="http://schemas.openxmlformats.org/officeDocument/2006/customXml" ds:itemID="{AA60D74F-BFA1-4A06-8399-C6403BC35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ab04c-8f70-4963-96ff-2715df65a177"/>
    <ds:schemaRef ds:uri="1acb8f41-2a33-4baf-8cf1-caa83d5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3512</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Timmermans, R.G.M. (Ritchie)</dc:creator>
  <cp:keywords/>
  <dc:description/>
  <cp:lastModifiedBy>Timmermans, R.G.M. (Ritchie)</cp:lastModifiedBy>
  <cp:revision>2</cp:revision>
  <dcterms:created xsi:type="dcterms:W3CDTF">2024-01-30T06:35:00Z</dcterms:created>
  <dcterms:modified xsi:type="dcterms:W3CDTF">2024-09-10T08:12:00Z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0x0101008FC4B550ABE92447A2ACA11BE917DF83</vt:lpwstr>
  </property>
  <property fmtid="{D5CDD505-2E9C-101B-9397-08002B2CF9AE}" pid="3" name="MediaServiceImageTags">
    <vt:lpwstr/>
  </property>
</Properties>
</file>